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C3" w:rsidRDefault="002C48C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8C3" w:rsidRDefault="002802F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 о</w:t>
      </w:r>
      <w:r w:rsidR="002C48C3" w:rsidRPr="002C48C3">
        <w:rPr>
          <w:rFonts w:ascii="Times New Roman" w:eastAsia="Times New Roman" w:hAnsi="Times New Roman"/>
          <w:b/>
          <w:sz w:val="28"/>
          <w:szCs w:val="28"/>
          <w:lang w:eastAsia="ru-RU"/>
        </w:rPr>
        <w:t>б использовании  при  реализации  образовательных программ  электронного обучения  и дистанционных технологий</w:t>
      </w:r>
    </w:p>
    <w:p w:rsidR="002802F4" w:rsidRPr="002C48C3" w:rsidRDefault="002802F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02F4" w:rsidRDefault="002C48C3" w:rsidP="002802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91D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Приказа Министерства образования и науки  РФ от 20 января 2014 г. № 22 «Об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профессии, реализуемые в ГПОУ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«ЧТКУ»</w:t>
      </w:r>
      <w:r w:rsidRPr="0042791D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входят в данный перечень.</w:t>
      </w:r>
      <w:r w:rsidR="002802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5751" w:rsidRDefault="002802F4" w:rsidP="002802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этого Приказа </w:t>
      </w:r>
      <w:r w:rsidR="002C48C3" w:rsidRPr="0042791D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обучение по образовательным программам в ГПОУ «ЧТКУ» предусматривает только очную форму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02F4" w:rsidRDefault="002802F4" w:rsidP="002802F4">
      <w:pPr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Наряду с этим во время теоретического обучения преподавателями используются  законодательные акты (Конституция РФ,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ГОСТы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Законы РФ и Забайкальского края, Уставы воинской службы и др.), учебники, учебные пособия, справочники, словари и др. в электронном виде, а так же интернет ресурсы.</w:t>
      </w:r>
    </w:p>
    <w:sectPr w:rsidR="002802F4" w:rsidSect="00B2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C48C3"/>
    <w:rsid w:val="001D459A"/>
    <w:rsid w:val="002802F4"/>
    <w:rsid w:val="002C48C3"/>
    <w:rsid w:val="00341EEF"/>
    <w:rsid w:val="00B2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2017-05-26T05:18:00Z</dcterms:created>
  <dcterms:modified xsi:type="dcterms:W3CDTF">2017-05-29T04:00:00Z</dcterms:modified>
</cp:coreProperties>
</file>